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420" w:lineRule="atLeast"/>
        <w:ind w:left="0" w:firstLine="420"/>
        <w:jc w:val="center"/>
        <w:rPr>
          <w:rFonts w:hint="eastAsia" w:ascii="微软雅黑" w:hAnsi="微软雅黑" w:eastAsia="微软雅黑" w:cs="微软雅黑"/>
          <w:sz w:val="22"/>
          <w:szCs w:val="22"/>
          <w:lang w:eastAsia="zh-CN"/>
        </w:rPr>
      </w:pPr>
      <w:r>
        <w:rPr>
          <w:rFonts w:hint="eastAsia" w:ascii="微软雅黑" w:hAnsi="微软雅黑" w:eastAsia="微软雅黑" w:cs="微软雅黑"/>
          <w:b/>
          <w:color w:val="333333"/>
          <w:sz w:val="22"/>
          <w:szCs w:val="22"/>
        </w:rPr>
        <w:t>铜陵有色金属集团控股有限公司公开竞价须知</w:t>
      </w:r>
      <w:r>
        <w:rPr>
          <w:rFonts w:hint="eastAsia" w:ascii="微软雅黑" w:hAnsi="微软雅黑" w:eastAsia="微软雅黑" w:cs="微软雅黑"/>
          <w:b/>
          <w:color w:val="333333"/>
          <w:sz w:val="22"/>
          <w:szCs w:val="22"/>
          <w:lang w:eastAsia="zh-CN"/>
        </w:rPr>
        <w:t>（</w:t>
      </w:r>
      <w:r>
        <w:rPr>
          <w:rFonts w:hint="eastAsia" w:ascii="微软雅黑" w:hAnsi="微软雅黑" w:eastAsia="微软雅黑" w:cs="微软雅黑"/>
          <w:b/>
          <w:color w:val="FF0000"/>
          <w:sz w:val="22"/>
          <w:szCs w:val="22"/>
          <w:lang w:eastAsia="zh-CN"/>
        </w:rPr>
        <w:t>更新</w:t>
      </w:r>
      <w:r>
        <w:rPr>
          <w:rFonts w:hint="eastAsia" w:ascii="微软雅黑" w:hAnsi="微软雅黑" w:eastAsia="微软雅黑" w:cs="微软雅黑"/>
          <w:b/>
          <w:color w:val="333333"/>
          <w:sz w:val="22"/>
          <w:szCs w:val="2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铜陵有色金属集团铜冠物资有限公司/铜陵有色金属集团股份公司物资供销部，是铜陵有色金属集团控股有限公司/铜陵有色金属集团股份有限公司（下称“铜陵有色集团”）材料、设备、备件等物资统一采购供应平台，是物资集中采供服务中心和监管中心，承担着铜陵有色集团材料、设备、备件的采购、供应和管理职能。现对部分物资面向社会实施公开竞价采购，欢迎满足资格条件的潜在供应商提交报价文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b/>
          <w:color w:val="333333"/>
          <w:sz w:val="22"/>
          <w:szCs w:val="22"/>
        </w:rPr>
        <w:t>一、投标人资质基本要求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1、投标人应具备一般纳税人资格的独立法人或其他组织，具备独立签订供货合同的权利，具备履行合同供货能力。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2、投标人生产经营状况良好，在同行业信誉好，业绩优良，能提供全新、优质、符合标书要求并经过有关部门检测合格的最新产品。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3、其他要求详见竞价公告。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b/>
          <w:color w:val="333333"/>
          <w:sz w:val="22"/>
          <w:szCs w:val="22"/>
        </w:rPr>
        <w:t>二、报价规范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1、所有报价文件须在报价截止时间前提交报价受理人。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2、</w:t>
      </w:r>
      <w:r>
        <w:rPr>
          <w:rFonts w:hint="eastAsia" w:ascii="微软雅黑" w:hAnsi="微软雅黑" w:eastAsia="微软雅黑" w:cs="微软雅黑"/>
          <w:color w:val="auto"/>
          <w:sz w:val="22"/>
          <w:szCs w:val="22"/>
          <w:lang w:eastAsia="zh-CN"/>
        </w:rPr>
        <w:t>报价单须为加盖印章的PDF格式文件，以邮件附件形式推送，不接收其它可编辑格式文件，内容应清晰可辨。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3、邮件主题栏中内容格式须为：“截止时间**年**月**日9:00”+“竞价编号”+“报价单位简称”。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4、投标人报价函和其它资料须扫描到一个文件中作为邮件附件，附件名格式须为：“竞价编号”和“报价单位简称”。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5、同一竞价内容，只允许投标人发一次邮件投标，若更改报价，投标人应及时撤回错误报价邮件，</w:t>
      </w:r>
      <w:r>
        <w:rPr>
          <w:rFonts w:hint="eastAsia" w:ascii="微软雅黑" w:hAnsi="微软雅黑" w:eastAsia="微软雅黑" w:cs="微软雅黑"/>
          <w:color w:val="FF0000"/>
          <w:sz w:val="22"/>
          <w:szCs w:val="22"/>
          <w:lang w:val="en-US" w:eastAsia="zh-CN"/>
        </w:rPr>
        <w:t>若无法撤回，须在最终报价函中盖章说明</w:t>
      </w:r>
      <w:r>
        <w:rPr>
          <w:rFonts w:hint="eastAsia" w:ascii="微软雅黑" w:hAnsi="微软雅黑" w:eastAsia="微软雅黑" w:cs="微软雅黑"/>
          <w:color w:val="auto"/>
          <w:sz w:val="22"/>
          <w:szCs w:val="22"/>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lang w:val="en-US" w:eastAsia="zh-CN"/>
        </w:rPr>
        <w:t>6</w:t>
      </w:r>
      <w:r>
        <w:rPr>
          <w:rFonts w:hint="eastAsia" w:ascii="微软雅黑" w:hAnsi="微软雅黑" w:eastAsia="微软雅黑" w:cs="微软雅黑"/>
          <w:color w:val="333333"/>
          <w:sz w:val="22"/>
          <w:szCs w:val="22"/>
        </w:rPr>
        <w:t>、投标人系铜陵有色集团合格供应商的，可直接提交报价，报价文件应包含：</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color w:val="333333"/>
          <w:sz w:val="22"/>
          <w:szCs w:val="22"/>
          <w:lang w:val="en-US" w:eastAsia="zh-CN"/>
        </w:rPr>
      </w:pPr>
      <w:r>
        <w:rPr>
          <w:rFonts w:hint="eastAsia" w:ascii="微软雅黑" w:hAnsi="微软雅黑" w:eastAsia="微软雅黑" w:cs="微软雅黑"/>
          <w:color w:val="333333"/>
          <w:sz w:val="22"/>
          <w:szCs w:val="22"/>
        </w:rPr>
        <w:t>1）报价表（见附件----格式1）。</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2）其他按需提供的相关资料文件。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sz w:val="22"/>
          <w:szCs w:val="22"/>
          <w:lang w:val="en-US" w:eastAsia="zh-CN"/>
        </w:rPr>
        <w:t>7</w:t>
      </w:r>
      <w:r>
        <w:rPr>
          <w:rFonts w:hint="eastAsia" w:ascii="微软雅黑" w:hAnsi="微软雅黑" w:eastAsia="微软雅黑" w:cs="微软雅黑"/>
          <w:color w:val="333333"/>
          <w:sz w:val="22"/>
          <w:szCs w:val="22"/>
        </w:rPr>
        <w:t>、投标人非铜陵有色集团合格供应商的，</w:t>
      </w:r>
      <w:r>
        <w:rPr>
          <w:rFonts w:hint="eastAsia" w:ascii="微软雅黑" w:hAnsi="微软雅黑" w:eastAsia="微软雅黑" w:cs="微软雅黑"/>
          <w:color w:val="auto"/>
          <w:sz w:val="22"/>
          <w:szCs w:val="22"/>
        </w:rPr>
        <w:t>报价文件应包含：</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1)</w:t>
      </w:r>
      <w:r>
        <w:rPr>
          <w:rFonts w:hint="eastAsia" w:ascii="微软雅黑" w:hAnsi="微软雅黑" w:eastAsia="微软雅黑" w:cs="微软雅黑"/>
          <w:color w:val="333333"/>
          <w:sz w:val="22"/>
          <w:szCs w:val="22"/>
          <w:lang w:val="en-US" w:eastAsia="zh-CN"/>
        </w:rPr>
        <w:t xml:space="preserve"> </w:t>
      </w:r>
      <w:r>
        <w:rPr>
          <w:rFonts w:hint="eastAsia" w:ascii="微软雅黑" w:hAnsi="微软雅黑" w:eastAsia="微软雅黑" w:cs="微软雅黑"/>
          <w:color w:val="333333"/>
          <w:sz w:val="22"/>
          <w:szCs w:val="22"/>
        </w:rPr>
        <w:t>报价表（见附件----格式1）。</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2) 加盖公章的</w:t>
      </w:r>
      <w:r>
        <w:rPr>
          <w:rFonts w:hint="eastAsia" w:ascii="微软雅黑" w:hAnsi="微软雅黑" w:eastAsia="微软雅黑" w:cs="微软雅黑"/>
          <w:color w:val="333333"/>
          <w:sz w:val="22"/>
          <w:szCs w:val="22"/>
          <w:lang w:eastAsia="zh-CN"/>
        </w:rPr>
        <w:t>营业执照和</w:t>
      </w:r>
      <w:r>
        <w:rPr>
          <w:rFonts w:hint="eastAsia" w:ascii="微软雅黑" w:hAnsi="微软雅黑" w:eastAsia="微软雅黑" w:cs="微软雅黑"/>
          <w:color w:val="333333"/>
          <w:sz w:val="22"/>
          <w:szCs w:val="22"/>
        </w:rPr>
        <w:t>企业简介。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3) 法定代表人授权委托书(见附件----格式2)。</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sz w:val="22"/>
          <w:szCs w:val="22"/>
        </w:rPr>
        <w:t>4）近三年销售业绩（按需）。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sz w:val="22"/>
          <w:szCs w:val="22"/>
          <w:lang w:val="en-US" w:eastAsia="zh-CN"/>
        </w:rPr>
        <w:t>5）</w:t>
      </w:r>
      <w:r>
        <w:rPr>
          <w:rFonts w:hint="eastAsia" w:ascii="微软雅黑" w:hAnsi="微软雅黑" w:eastAsia="微软雅黑" w:cs="微软雅黑"/>
          <w:color w:val="333333"/>
          <w:sz w:val="22"/>
          <w:szCs w:val="22"/>
        </w:rPr>
        <w:t>其他按需提供的相关资料文件。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bookmarkStart w:id="0" w:name="_GoBack"/>
      <w:bookmarkEnd w:id="0"/>
      <w:r>
        <w:rPr>
          <w:rFonts w:hint="eastAsia" w:ascii="微软雅黑" w:hAnsi="微软雅黑" w:eastAsia="微软雅黑" w:cs="微软雅黑"/>
          <w:b/>
          <w:color w:val="333333"/>
          <w:sz w:val="22"/>
          <w:szCs w:val="22"/>
        </w:rPr>
        <w:t>三、询价人声明事项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1、询价人本着“公开、公平、公正”的原则，成立专门评审组织，对报价人及其报价进行客观、公正评审。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2、询价人对公开询价采购采用比质比价方法在报价人中产生中标单位，询价人不承诺一定以最低报价中标。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3、询价人根据报价情况不排除进行多轮报价的可能，也不排除与中标人进行进一步商务磋商的可能。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4、询价人在与中标人签署合同时有权在一定幅度范围内对货物数量和服务内容予以调整。</w:t>
      </w:r>
    </w:p>
    <w:p>
      <w:pPr>
        <w:numPr>
          <w:ilvl w:val="0"/>
          <w:numId w:val="0"/>
        </w:numPr>
        <w:rPr>
          <w:rFonts w:hint="eastAsia" w:ascii="宋体" w:hAnsi="宋体"/>
          <w:b w:val="0"/>
          <w:bCs w:val="0"/>
          <w:sz w:val="28"/>
          <w:szCs w:val="28"/>
        </w:rPr>
      </w:pPr>
    </w:p>
    <w:p>
      <w:pPr>
        <w:ind w:firstLine="560" w:firstLineChars="200"/>
        <w:rPr>
          <w:rFonts w:hint="default" w:eastAsia="宋体"/>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7C"/>
    <w:rsid w:val="00006A7D"/>
    <w:rsid w:val="00020BDF"/>
    <w:rsid w:val="00025810"/>
    <w:rsid w:val="00045CD5"/>
    <w:rsid w:val="000473A7"/>
    <w:rsid w:val="00086F4E"/>
    <w:rsid w:val="000A75AF"/>
    <w:rsid w:val="000B348C"/>
    <w:rsid w:val="000D4197"/>
    <w:rsid w:val="00105549"/>
    <w:rsid w:val="00112914"/>
    <w:rsid w:val="0011450C"/>
    <w:rsid w:val="001200F0"/>
    <w:rsid w:val="001625E5"/>
    <w:rsid w:val="001A4AD9"/>
    <w:rsid w:val="001C43CF"/>
    <w:rsid w:val="001E4728"/>
    <w:rsid w:val="002518E3"/>
    <w:rsid w:val="0025369A"/>
    <w:rsid w:val="00253C00"/>
    <w:rsid w:val="00266F35"/>
    <w:rsid w:val="00285294"/>
    <w:rsid w:val="003412EA"/>
    <w:rsid w:val="003724C2"/>
    <w:rsid w:val="0038072C"/>
    <w:rsid w:val="0044252C"/>
    <w:rsid w:val="00447A0B"/>
    <w:rsid w:val="00457231"/>
    <w:rsid w:val="00484CB2"/>
    <w:rsid w:val="004D73D6"/>
    <w:rsid w:val="004F4D65"/>
    <w:rsid w:val="004F4D6F"/>
    <w:rsid w:val="00524A26"/>
    <w:rsid w:val="005625C8"/>
    <w:rsid w:val="00563749"/>
    <w:rsid w:val="00564D01"/>
    <w:rsid w:val="0058012B"/>
    <w:rsid w:val="005947FE"/>
    <w:rsid w:val="005D7547"/>
    <w:rsid w:val="005E39F8"/>
    <w:rsid w:val="00603E76"/>
    <w:rsid w:val="00630B6E"/>
    <w:rsid w:val="006317A8"/>
    <w:rsid w:val="0064161A"/>
    <w:rsid w:val="00693E13"/>
    <w:rsid w:val="006E1639"/>
    <w:rsid w:val="006E5CF9"/>
    <w:rsid w:val="00707D29"/>
    <w:rsid w:val="0072662C"/>
    <w:rsid w:val="007A30AD"/>
    <w:rsid w:val="007C0CF7"/>
    <w:rsid w:val="007D2876"/>
    <w:rsid w:val="007F2A2E"/>
    <w:rsid w:val="00800427"/>
    <w:rsid w:val="00871E2C"/>
    <w:rsid w:val="00876212"/>
    <w:rsid w:val="008D0D3D"/>
    <w:rsid w:val="008D1F10"/>
    <w:rsid w:val="008F2D61"/>
    <w:rsid w:val="00903D91"/>
    <w:rsid w:val="00905190"/>
    <w:rsid w:val="0099573B"/>
    <w:rsid w:val="009A6C05"/>
    <w:rsid w:val="009F3698"/>
    <w:rsid w:val="00A068B2"/>
    <w:rsid w:val="00A262D0"/>
    <w:rsid w:val="00A33FDB"/>
    <w:rsid w:val="00A42A6D"/>
    <w:rsid w:val="00AA34F8"/>
    <w:rsid w:val="00AA5033"/>
    <w:rsid w:val="00AA79C8"/>
    <w:rsid w:val="00AB5745"/>
    <w:rsid w:val="00AF2059"/>
    <w:rsid w:val="00AF7E79"/>
    <w:rsid w:val="00B35A4A"/>
    <w:rsid w:val="00B771CE"/>
    <w:rsid w:val="00B9220F"/>
    <w:rsid w:val="00BE405C"/>
    <w:rsid w:val="00C05CEC"/>
    <w:rsid w:val="00C06184"/>
    <w:rsid w:val="00C1362F"/>
    <w:rsid w:val="00C3275C"/>
    <w:rsid w:val="00C376D4"/>
    <w:rsid w:val="00C922EF"/>
    <w:rsid w:val="00CD51C3"/>
    <w:rsid w:val="00CE36C0"/>
    <w:rsid w:val="00CF57BB"/>
    <w:rsid w:val="00D03E0B"/>
    <w:rsid w:val="00DF2C2A"/>
    <w:rsid w:val="00E07265"/>
    <w:rsid w:val="00E1217C"/>
    <w:rsid w:val="00E311E8"/>
    <w:rsid w:val="00E40EF0"/>
    <w:rsid w:val="00E53936"/>
    <w:rsid w:val="00E73145"/>
    <w:rsid w:val="00E8712D"/>
    <w:rsid w:val="00EE4480"/>
    <w:rsid w:val="00EF0F99"/>
    <w:rsid w:val="00EF3E5B"/>
    <w:rsid w:val="00EF55AD"/>
    <w:rsid w:val="00F2248B"/>
    <w:rsid w:val="088D10D3"/>
    <w:rsid w:val="1FE42BC4"/>
    <w:rsid w:val="20793FEE"/>
    <w:rsid w:val="2B1D1097"/>
    <w:rsid w:val="305A6B59"/>
    <w:rsid w:val="31141669"/>
    <w:rsid w:val="3C2C6567"/>
    <w:rsid w:val="42CD2A7E"/>
    <w:rsid w:val="47DA38B6"/>
    <w:rsid w:val="4BE312B6"/>
    <w:rsid w:val="51E64686"/>
    <w:rsid w:val="52BE5DE3"/>
    <w:rsid w:val="674C29B8"/>
    <w:rsid w:val="6B1348F8"/>
    <w:rsid w:val="6EAE3548"/>
    <w:rsid w:val="6FC13391"/>
    <w:rsid w:val="7364106E"/>
    <w:rsid w:val="766B3945"/>
    <w:rsid w:val="7BC07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semiHidden/>
    <w:unhideWhenUsed/>
    <w:qFormat/>
    <w:uiPriority w:val="99"/>
    <w:rPr>
      <w:color w:val="000000"/>
      <w:u w:val="none"/>
    </w:rPr>
  </w:style>
  <w:style w:type="character" w:styleId="9">
    <w:name w:val="Hyperlink"/>
    <w:basedOn w:val="6"/>
    <w:semiHidden/>
    <w:unhideWhenUsed/>
    <w:qFormat/>
    <w:uiPriority w:val="99"/>
    <w:rPr>
      <w:color w:val="000000"/>
      <w:u w:val="none"/>
    </w:rPr>
  </w:style>
  <w:style w:type="character" w:customStyle="1" w:styleId="10">
    <w:name w:val="页眉 Char"/>
    <w:basedOn w:val="6"/>
    <w:link w:val="3"/>
    <w:semiHidden/>
    <w:qFormat/>
    <w:uiPriority w:val="99"/>
    <w:rPr>
      <w:rFonts w:ascii="Calibri" w:hAnsi="Calibri" w:eastAsia="宋体" w:cs="Times New Roman"/>
      <w:sz w:val="18"/>
      <w:szCs w:val="18"/>
    </w:rPr>
  </w:style>
  <w:style w:type="character" w:customStyle="1" w:styleId="11">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Words>
  <Characters>345</Characters>
  <Lines>2</Lines>
  <Paragraphs>1</Paragraphs>
  <TotalTime>84</TotalTime>
  <ScaleCrop>false</ScaleCrop>
  <LinksUpToDate>false</LinksUpToDate>
  <CharactersWithSpaces>404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2020-02-26T02:10:00Z</dcterms:created>
  <dc:creator>ID=fangrui</dc:creator>
  <cp:lastModifiedBy>Administrator</cp:lastModifiedBy>
  <dcterms:modified xsi:type="dcterms:W3CDTF">2021-01-04T08:41:23Z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